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2" w:type="dxa"/>
        <w:tblInd w:w="126" w:type="dxa"/>
        <w:tblLayout w:type="fixed"/>
        <w:tblLook w:val="00BF"/>
      </w:tblPr>
      <w:tblGrid>
        <w:gridCol w:w="1782"/>
        <w:gridCol w:w="6480"/>
        <w:gridCol w:w="2520"/>
      </w:tblGrid>
      <w:tr w:rsidR="00A22AEC">
        <w:trPr>
          <w:trHeight w:val="1710"/>
        </w:trPr>
        <w:tc>
          <w:tcPr>
            <w:tcW w:w="1782" w:type="dxa"/>
          </w:tcPr>
          <w:p w:rsidR="00A22AEC" w:rsidRPr="00827EC8" w:rsidRDefault="00A22AEC" w:rsidP="00E32A06">
            <w:pPr>
              <w:pStyle w:val="Header"/>
              <w:tabs>
                <w:tab w:val="clear" w:pos="4320"/>
                <w:tab w:val="clear" w:pos="8640"/>
              </w:tabs>
              <w:ind w:left="-108" w:right="-144"/>
            </w:pPr>
            <w:r w:rsidRPr="00827EC8">
              <w:rPr>
                <w:noProof/>
              </w:rPr>
              <w:drawing>
                <wp:inline distT="0" distB="0" distL="0" distR="0">
                  <wp:extent cx="1117600" cy="1046073"/>
                  <wp:effectExtent l="25400" t="0" r="0" b="0"/>
                  <wp:docPr id="2" name="Picture 3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725" cy="1047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22AEC" w:rsidRPr="00076B73" w:rsidRDefault="00A22AEC" w:rsidP="00E32A06">
            <w:pPr>
              <w:ind w:left="-66" w:right="-108"/>
              <w:jc w:val="center"/>
              <w:rPr>
                <w:b/>
                <w:szCs w:val="20"/>
              </w:rPr>
            </w:pPr>
            <w:r w:rsidRPr="00076B73">
              <w:rPr>
                <w:b/>
                <w:szCs w:val="20"/>
              </w:rPr>
              <w:t>Depa</w:t>
            </w:r>
            <w:r>
              <w:rPr>
                <w:b/>
                <w:szCs w:val="20"/>
              </w:rPr>
              <w:t xml:space="preserve">rtment of Consumer and Business </w:t>
            </w:r>
            <w:r w:rsidRPr="00076B73">
              <w:rPr>
                <w:b/>
                <w:szCs w:val="20"/>
              </w:rPr>
              <w:t>Services</w:t>
            </w:r>
          </w:p>
          <w:p w:rsidR="00A22AEC" w:rsidRPr="00076B73" w:rsidRDefault="00A22AEC" w:rsidP="00E32A06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Cs w:val="20"/>
              </w:rPr>
            </w:pPr>
            <w:r w:rsidRPr="00076B73">
              <w:rPr>
                <w:b/>
                <w:szCs w:val="20"/>
              </w:rPr>
              <w:t>Insurance Division — 4</w:t>
            </w:r>
            <w:r w:rsidRPr="00076B73">
              <w:rPr>
                <w:b/>
                <w:szCs w:val="20"/>
              </w:rPr>
              <w:br/>
            </w:r>
            <w:r w:rsidRPr="00076B73">
              <w:rPr>
                <w:szCs w:val="20"/>
              </w:rPr>
              <w:t>P.O. Box 14480, Salem, OR 97309-0405</w:t>
            </w:r>
          </w:p>
          <w:p w:rsidR="00A22AEC" w:rsidRPr="00076B73" w:rsidRDefault="00A22AEC" w:rsidP="00E32A06">
            <w:pPr>
              <w:autoSpaceDE w:val="0"/>
              <w:autoSpaceDN w:val="0"/>
              <w:adjustRightInd w:val="0"/>
              <w:ind w:left="-66" w:right="-108"/>
              <w:jc w:val="center"/>
              <w:rPr>
                <w:szCs w:val="20"/>
              </w:rPr>
            </w:pPr>
            <w:r w:rsidRPr="00076B73">
              <w:rPr>
                <w:szCs w:val="20"/>
              </w:rPr>
              <w:t>Phone: 503-947-7982, Fax: 503-378-4351</w:t>
            </w:r>
            <w:r w:rsidRPr="00076B73">
              <w:rPr>
                <w:szCs w:val="20"/>
              </w:rPr>
              <w:br/>
              <w:t>350 Winter St. NE, Salem, Oregon</w:t>
            </w:r>
          </w:p>
          <w:p w:rsidR="00A22AEC" w:rsidRDefault="00A22AEC" w:rsidP="00E32A06">
            <w:pPr>
              <w:pStyle w:val="Header"/>
              <w:ind w:left="-66" w:right="-108"/>
              <w:jc w:val="center"/>
            </w:pPr>
            <w:proofErr w:type="gramStart"/>
            <w:r w:rsidRPr="00076B73">
              <w:rPr>
                <w:szCs w:val="20"/>
              </w:rPr>
              <w:t>insurance.oregon.gov</w:t>
            </w:r>
            <w:proofErr w:type="gramEnd"/>
          </w:p>
        </w:tc>
        <w:tc>
          <w:tcPr>
            <w:tcW w:w="2520" w:type="dxa"/>
          </w:tcPr>
          <w:p w:rsidR="00A22AEC" w:rsidRDefault="00A22AEC" w:rsidP="00E32A06">
            <w:pPr>
              <w:pStyle w:val="BodyTextIndent2"/>
              <w:tabs>
                <w:tab w:val="clear" w:pos="600"/>
              </w:tabs>
              <w:ind w:left="0" w:right="-108" w:firstLine="0"/>
            </w:pPr>
          </w:p>
        </w:tc>
      </w:tr>
    </w:tbl>
    <w:p w:rsidR="00A22AEC" w:rsidRDefault="00A22AEC" w:rsidP="00A22AEC">
      <w:pPr>
        <w:rPr>
          <w:rFonts w:ascii="CG Times" w:hAnsi="CG Times"/>
          <w:b/>
          <w:sz w:val="28"/>
        </w:rPr>
      </w:pPr>
    </w:p>
    <w:p w:rsidR="00A22AEC" w:rsidRDefault="00A22AEC" w:rsidP="00A22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8"/>
        </w:rPr>
        <w:t>Captive Insurance Company</w:t>
      </w:r>
    </w:p>
    <w:p w:rsidR="00A22AEC" w:rsidRDefault="00A22AEC" w:rsidP="00C53ECA">
      <w:pPr>
        <w:jc w:val="center"/>
        <w:rPr>
          <w:rFonts w:ascii="CG Times" w:hAnsi="CG Times"/>
          <w:sz w:val="22"/>
        </w:rPr>
      </w:pPr>
      <w:r>
        <w:rPr>
          <w:rFonts w:ascii="CG Times" w:hAnsi="CG Times"/>
          <w:b/>
          <w:sz w:val="28"/>
        </w:rPr>
        <w:t>Feasibility Study</w:t>
      </w:r>
    </w:p>
    <w:p w:rsidR="00A22AEC" w:rsidRDefault="00A22AEC" w:rsidP="00A22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sz w:val="22"/>
        </w:rPr>
      </w:pPr>
    </w:p>
    <w:p w:rsidR="00A22AEC" w:rsidRPr="00254F69" w:rsidRDefault="00A22AEC" w:rsidP="00A22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2"/>
        </w:rPr>
      </w:pPr>
      <w:r w:rsidRPr="00254F69">
        <w:rPr>
          <w:b/>
          <w:sz w:val="22"/>
        </w:rPr>
        <w:t>Purpose</w:t>
      </w:r>
    </w:p>
    <w:p w:rsidR="00A22AEC" w:rsidRPr="00254F69" w:rsidRDefault="00A22AEC" w:rsidP="00A22AEC">
      <w:p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</w:rPr>
      </w:pPr>
      <w:r w:rsidRPr="00254F69">
        <w:rPr>
          <w:sz w:val="22"/>
        </w:rPr>
        <w:t>This document provides a guideline for the preparation of a Captive Insurance Company Feasibility Study (hereinafter, “CICFS”).</w:t>
      </w:r>
      <w:r>
        <w:rPr>
          <w:sz w:val="22"/>
        </w:rPr>
        <w:t xml:space="preserve"> </w:t>
      </w:r>
      <w:r w:rsidRPr="00254F69">
        <w:rPr>
          <w:sz w:val="22"/>
        </w:rPr>
        <w:t>This guideline is intended to promote consistency and professional quality in the preparation and the compilation of the initial feasibility study.</w:t>
      </w:r>
      <w:r>
        <w:rPr>
          <w:sz w:val="22"/>
        </w:rPr>
        <w:t xml:space="preserve"> </w:t>
      </w:r>
      <w:r w:rsidRPr="00254F69">
        <w:rPr>
          <w:sz w:val="22"/>
        </w:rPr>
        <w:t>This guideline provides the minimum requirements of a CICFS.</w:t>
      </w:r>
      <w:r>
        <w:rPr>
          <w:sz w:val="22"/>
        </w:rPr>
        <w:t xml:space="preserve"> </w:t>
      </w:r>
      <w:r w:rsidRPr="00254F69">
        <w:rPr>
          <w:sz w:val="22"/>
        </w:rPr>
        <w:t>Any additional information that the individuals preparing this document believe is important should be included.</w:t>
      </w:r>
    </w:p>
    <w:p w:rsidR="00A22AEC" w:rsidRPr="00254F69" w:rsidRDefault="00A22AEC" w:rsidP="00A22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60" w:after="20"/>
        <w:rPr>
          <w:b/>
          <w:sz w:val="22"/>
        </w:rPr>
      </w:pPr>
      <w:r w:rsidRPr="00254F69">
        <w:rPr>
          <w:b/>
          <w:sz w:val="22"/>
        </w:rPr>
        <w:t>Scope</w:t>
      </w:r>
    </w:p>
    <w:p w:rsidR="00A22AEC" w:rsidRPr="00254F69" w:rsidRDefault="00A22AEC" w:rsidP="00A22AE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Captive feasibility studies should adhere to the following format and scope:</w:t>
      </w:r>
    </w:p>
    <w:p w:rsidR="00A22AEC" w:rsidRPr="00254F69" w:rsidRDefault="00A22AEC" w:rsidP="00A22AEC">
      <w:pPr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20"/>
        <w:rPr>
          <w:sz w:val="22"/>
        </w:rPr>
      </w:pPr>
      <w:r w:rsidRPr="00254F69">
        <w:rPr>
          <w:b/>
          <w:sz w:val="22"/>
        </w:rPr>
        <w:t>Cover Page</w:t>
      </w:r>
      <w:r w:rsidRPr="00254F69">
        <w:rPr>
          <w:sz w:val="22"/>
        </w:rPr>
        <w:t xml:space="preserve"> – The feasibility study should have a cover page including: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The name of the captive insurance company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The names of the individuals</w:t>
      </w:r>
      <w:r>
        <w:rPr>
          <w:sz w:val="22"/>
        </w:rPr>
        <w:t xml:space="preserve"> </w:t>
      </w:r>
      <w:r w:rsidRPr="00254F69">
        <w:rPr>
          <w:sz w:val="22"/>
        </w:rPr>
        <w:t>involved in preparing the CICFS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The address and telephone number of the individuals</w:t>
      </w:r>
      <w:r>
        <w:rPr>
          <w:sz w:val="22"/>
        </w:rPr>
        <w:t xml:space="preserve"> </w:t>
      </w:r>
      <w:r w:rsidRPr="00254F69">
        <w:rPr>
          <w:sz w:val="22"/>
        </w:rPr>
        <w:t>preparing the CICFS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The date</w:t>
      </w:r>
      <w:r w:rsidRPr="00254F69">
        <w:rPr>
          <w:b/>
          <w:sz w:val="22"/>
        </w:rPr>
        <w:t xml:space="preserve"> </w:t>
      </w:r>
      <w:r w:rsidRPr="00254F69">
        <w:rPr>
          <w:sz w:val="22"/>
        </w:rPr>
        <w:t>of the report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Signature of the actuary (or include the signature in a separate letter)</w:t>
      </w:r>
    </w:p>
    <w:p w:rsidR="00A22AEC" w:rsidRPr="00254F69" w:rsidRDefault="00A22AEC" w:rsidP="00A22AEC">
      <w:pPr>
        <w:numPr>
          <w:ilvl w:val="0"/>
          <w:numId w:val="2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20"/>
        <w:rPr>
          <w:sz w:val="22"/>
        </w:rPr>
      </w:pPr>
      <w:r w:rsidRPr="00254F69">
        <w:rPr>
          <w:b/>
          <w:sz w:val="22"/>
        </w:rPr>
        <w:t>Background and Scope of the Analysis</w:t>
      </w:r>
      <w:r w:rsidRPr="00254F69">
        <w:rPr>
          <w:sz w:val="22"/>
        </w:rPr>
        <w:t xml:space="preserve"> – The following items</w:t>
      </w:r>
      <w:r w:rsidRPr="00254F69">
        <w:rPr>
          <w:b/>
          <w:sz w:val="22"/>
        </w:rPr>
        <w:t xml:space="preserve"> </w:t>
      </w:r>
      <w:r w:rsidRPr="00254F69">
        <w:rPr>
          <w:sz w:val="22"/>
        </w:rPr>
        <w:t>should be included in the background and scope section with the order, language, and presentation format left to the individuals: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Identification of the parent or members of the proposed captive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Statement of why the study was</w:t>
      </w:r>
      <w:r w:rsidRPr="00254F69">
        <w:rPr>
          <w:b/>
          <w:sz w:val="22"/>
        </w:rPr>
        <w:t xml:space="preserve"> </w:t>
      </w:r>
      <w:r w:rsidRPr="00254F69">
        <w:rPr>
          <w:sz w:val="22"/>
        </w:rPr>
        <w:t>undertaken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Summary of coverage, policy forms, lines of business, limits, deductibles, and retentions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Summary of source of funds (premiums, LOC, accessibility, etc.)</w:t>
      </w:r>
    </w:p>
    <w:p w:rsidR="00A22AEC" w:rsidRPr="00254F69" w:rsidRDefault="00A22AEC" w:rsidP="00A22AEC">
      <w:pPr>
        <w:numPr>
          <w:ilvl w:val="0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20"/>
        <w:rPr>
          <w:sz w:val="22"/>
        </w:rPr>
      </w:pPr>
      <w:r w:rsidRPr="00254F69">
        <w:rPr>
          <w:b/>
          <w:sz w:val="22"/>
        </w:rPr>
        <w:t>Summary of Recommendations</w:t>
      </w:r>
      <w:r w:rsidRPr="00254F69">
        <w:rPr>
          <w:sz w:val="22"/>
        </w:rPr>
        <w:t xml:space="preserve"> – Feasibility studies should include a summary </w:t>
      </w:r>
      <w:r>
        <w:rPr>
          <w:sz w:val="22"/>
        </w:rPr>
        <w:t>that</w:t>
      </w:r>
      <w:r w:rsidRPr="00254F69">
        <w:rPr>
          <w:sz w:val="22"/>
        </w:rPr>
        <w:t xml:space="preserve"> contains the basic findings and conclusions as well as the key assumptions underlying those findings and conclusions.</w:t>
      </w:r>
      <w:r>
        <w:rPr>
          <w:sz w:val="22"/>
        </w:rPr>
        <w:t xml:space="preserve"> </w:t>
      </w:r>
      <w:r w:rsidRPr="00254F69">
        <w:rPr>
          <w:sz w:val="22"/>
        </w:rPr>
        <w:t>Key paragraphs of the summary should reference sections, appendices, or pages of the rest of the report.</w:t>
      </w:r>
      <w:r>
        <w:rPr>
          <w:sz w:val="22"/>
        </w:rPr>
        <w:t xml:space="preserve"> </w:t>
      </w:r>
      <w:r w:rsidRPr="00254F69">
        <w:rPr>
          <w:sz w:val="22"/>
        </w:rPr>
        <w:t>The summary should include the following information: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Discussion of rates, rate structure, and premium level broken out by line of insurance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Discussion of the degree of capitalization and the level of confidence in the aggregate funding, which should include premiums and investment income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In the case of an association captive, a discussion of the minimum number of participants required to form a critical mass that makes the program feasible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Summary of results of pro-forma financial statements, including a worse</w:t>
      </w:r>
      <w:r>
        <w:rPr>
          <w:sz w:val="22"/>
        </w:rPr>
        <w:t>-</w:t>
      </w:r>
      <w:r w:rsidRPr="00254F69">
        <w:rPr>
          <w:sz w:val="22"/>
        </w:rPr>
        <w:t>than</w:t>
      </w:r>
      <w:r>
        <w:rPr>
          <w:sz w:val="22"/>
        </w:rPr>
        <w:t>-</w:t>
      </w:r>
      <w:r w:rsidRPr="00254F69">
        <w:rPr>
          <w:sz w:val="22"/>
        </w:rPr>
        <w:t>expected scenario demonstrating the possibility of serious financial loss or impairment</w:t>
      </w:r>
    </w:p>
    <w:p w:rsidR="00A22AEC" w:rsidRPr="00254F69" w:rsidRDefault="00A22AEC" w:rsidP="00A22AEC">
      <w:pPr>
        <w:numPr>
          <w:ilvl w:val="0"/>
          <w:numId w:val="2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20"/>
        <w:rPr>
          <w:sz w:val="22"/>
        </w:rPr>
      </w:pPr>
      <w:r w:rsidRPr="00254F69">
        <w:rPr>
          <w:b/>
          <w:sz w:val="22"/>
        </w:rPr>
        <w:t>Analysis Section –</w:t>
      </w:r>
      <w:r w:rsidRPr="00254F69">
        <w:rPr>
          <w:sz w:val="22"/>
        </w:rPr>
        <w:t xml:space="preserve"> Where analysis items have been omitted, are not relevant, or are not required, their absence from the feasibility study should be noted.</w:t>
      </w:r>
      <w:r>
        <w:rPr>
          <w:sz w:val="22"/>
        </w:rPr>
        <w:t xml:space="preserve"> </w:t>
      </w:r>
      <w:r w:rsidRPr="00254F69">
        <w:rPr>
          <w:sz w:val="22"/>
        </w:rPr>
        <w:t>The following order is recommended:</w:t>
      </w:r>
    </w:p>
    <w:p w:rsidR="00A22AEC" w:rsidRPr="00254F69" w:rsidRDefault="00A22AEC" w:rsidP="00A22AEC">
      <w:pPr>
        <w:numPr>
          <w:ilvl w:val="0"/>
          <w:numId w:val="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i/>
          <w:sz w:val="22"/>
        </w:rPr>
        <w:t>Data analysis</w:t>
      </w:r>
      <w:r w:rsidRPr="00254F69">
        <w:rPr>
          <w:sz w:val="22"/>
        </w:rPr>
        <w:t xml:space="preserve"> should include studies based on estimates of expected frequency and severity of loss using available data.</w:t>
      </w:r>
      <w:r>
        <w:rPr>
          <w:sz w:val="22"/>
        </w:rPr>
        <w:t xml:space="preserve"> </w:t>
      </w:r>
      <w:r w:rsidRPr="00254F69">
        <w:rPr>
          <w:sz w:val="22"/>
        </w:rPr>
        <w:t>These estimates may be derived from:</w:t>
      </w:r>
      <w:r>
        <w:rPr>
          <w:sz w:val="22"/>
        </w:rPr>
        <w:t xml:space="preserve"> </w:t>
      </w:r>
      <w:r w:rsidRPr="00254F69">
        <w:rPr>
          <w:sz w:val="22"/>
        </w:rPr>
        <w:t>trended and developed historical loss data, outside sources of data (ISO, RAA, etc.), expertise within the firm, and judgment.</w:t>
      </w:r>
      <w:r>
        <w:rPr>
          <w:sz w:val="22"/>
        </w:rPr>
        <w:t xml:space="preserve"> </w:t>
      </w:r>
      <w:r w:rsidRPr="00254F69">
        <w:rPr>
          <w:sz w:val="22"/>
        </w:rPr>
        <w:t>It should be noted, however, that judgmental estimates should be disclosed as such and the source clearly stated.</w:t>
      </w:r>
      <w:r>
        <w:rPr>
          <w:sz w:val="22"/>
        </w:rPr>
        <w:t xml:space="preserve"> </w:t>
      </w:r>
      <w:r w:rsidRPr="00254F69">
        <w:rPr>
          <w:sz w:val="22"/>
        </w:rPr>
        <w:t>Judgmental estimates may be accepted as long as they are clearly disclosed.</w:t>
      </w:r>
    </w:p>
    <w:p w:rsidR="00A22AEC" w:rsidRDefault="00A22AEC" w:rsidP="00A22AEC">
      <w:pPr>
        <w:numPr>
          <w:ilvl w:val="0"/>
          <w:numId w:val="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i/>
          <w:sz w:val="22"/>
        </w:rPr>
        <w:t>Loss projections and risk margins</w:t>
      </w:r>
      <w:r w:rsidRPr="00254F69">
        <w:rPr>
          <w:sz w:val="22"/>
        </w:rPr>
        <w:t xml:space="preserve"> of expected and higher-than-expected levels of loss should be included.</w:t>
      </w:r>
      <w:r>
        <w:rPr>
          <w:sz w:val="22"/>
        </w:rPr>
        <w:t xml:space="preserve"> </w:t>
      </w:r>
      <w:r w:rsidRPr="00254F69">
        <w:rPr>
          <w:sz w:val="22"/>
        </w:rPr>
        <w:t xml:space="preserve">These projections and margins are </w:t>
      </w:r>
      <w:proofErr w:type="gramStart"/>
      <w:r w:rsidRPr="00254F69">
        <w:rPr>
          <w:sz w:val="22"/>
        </w:rPr>
        <w:t>either actuarially determined and</w:t>
      </w:r>
      <w:proofErr w:type="gramEnd"/>
      <w:r w:rsidRPr="00254F69">
        <w:rPr>
          <w:sz w:val="22"/>
        </w:rPr>
        <w:t xml:space="preserve"> stated as such or the methodology used is clearly documented.</w:t>
      </w:r>
      <w:r>
        <w:rPr>
          <w:sz w:val="22"/>
        </w:rPr>
        <w:t xml:space="preserve"> </w:t>
      </w:r>
      <w:r w:rsidRPr="00254F69">
        <w:rPr>
          <w:sz w:val="22"/>
        </w:rPr>
        <w:t>In all loss</w:t>
      </w:r>
      <w:r>
        <w:rPr>
          <w:sz w:val="22"/>
        </w:rPr>
        <w:t>-</w:t>
      </w:r>
      <w:r w:rsidRPr="00254F69">
        <w:rPr>
          <w:sz w:val="22"/>
        </w:rPr>
        <w:t>projection sections, each step should be explained in terms of how and why the procedure was used.</w:t>
      </w:r>
      <w:r>
        <w:rPr>
          <w:sz w:val="22"/>
        </w:rPr>
        <w:t xml:space="preserve"> </w:t>
      </w:r>
      <w:r w:rsidRPr="00254F69">
        <w:rPr>
          <w:sz w:val="22"/>
        </w:rPr>
        <w:t>For example, how is trend and loss development handled?</w:t>
      </w:r>
      <w:r>
        <w:rPr>
          <w:sz w:val="22"/>
        </w:rPr>
        <w:t xml:space="preserve"> </w:t>
      </w:r>
      <w:r w:rsidRPr="00254F69">
        <w:rPr>
          <w:sz w:val="22"/>
        </w:rPr>
        <w:t>Are losses discounted for the time value of money?</w:t>
      </w:r>
    </w:p>
    <w:p w:rsidR="00A22AEC" w:rsidRPr="00BB3DD8" w:rsidRDefault="00A22AEC" w:rsidP="00A22AEC">
      <w:pPr>
        <w:tabs>
          <w:tab w:val="center" w:pos="5220"/>
        </w:tabs>
        <w:spacing w:before="100"/>
        <w:rPr>
          <w:b/>
          <w:sz w:val="22"/>
          <w:szCs w:val="20"/>
        </w:rPr>
      </w:pPr>
      <w:r w:rsidRPr="00BB3DD8">
        <w:rPr>
          <w:rFonts w:ascii="Arial" w:hAnsi="Arial"/>
          <w:sz w:val="16"/>
          <w:szCs w:val="22"/>
        </w:rPr>
        <w:t>440-49</w:t>
      </w:r>
      <w:r>
        <w:rPr>
          <w:rFonts w:ascii="Arial" w:hAnsi="Arial"/>
          <w:sz w:val="16"/>
          <w:szCs w:val="22"/>
        </w:rPr>
        <w:t>4</w:t>
      </w:r>
      <w:r w:rsidR="001A40E9">
        <w:rPr>
          <w:rFonts w:ascii="Arial" w:hAnsi="Arial"/>
          <w:sz w:val="16"/>
          <w:szCs w:val="22"/>
        </w:rPr>
        <w:t>7</w:t>
      </w:r>
      <w:r w:rsidRPr="00BB3DD8">
        <w:rPr>
          <w:rFonts w:ascii="Arial" w:hAnsi="Arial"/>
          <w:sz w:val="16"/>
          <w:szCs w:val="22"/>
        </w:rPr>
        <w:t xml:space="preserve"> (8/12/COM)</w:t>
      </w:r>
      <w:r w:rsidRPr="00BB3DD8">
        <w:rPr>
          <w:rFonts w:ascii="Arial" w:hAnsi="Arial"/>
          <w:sz w:val="16"/>
          <w:szCs w:val="22"/>
        </w:rPr>
        <w:tab/>
      </w:r>
      <w:r w:rsidRPr="00BB3DD8">
        <w:rPr>
          <w:sz w:val="20"/>
          <w:szCs w:val="22"/>
        </w:rPr>
        <w:t xml:space="preserve">Page </w:t>
      </w:r>
      <w:r>
        <w:rPr>
          <w:sz w:val="20"/>
          <w:szCs w:val="22"/>
        </w:rPr>
        <w:t>1</w:t>
      </w:r>
    </w:p>
    <w:p w:rsidR="00A22AEC" w:rsidRPr="00254F69" w:rsidRDefault="00A22AEC" w:rsidP="00A22AEC">
      <w:pPr>
        <w:numPr>
          <w:ilvl w:val="0"/>
          <w:numId w:val="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i/>
          <w:sz w:val="22"/>
        </w:rPr>
        <w:t>Expense budget</w:t>
      </w:r>
      <w:r w:rsidRPr="00254F69">
        <w:rPr>
          <w:sz w:val="22"/>
        </w:rPr>
        <w:t xml:space="preserve"> for the captive insurance company should be clearly discussed.</w:t>
      </w:r>
      <w:r>
        <w:rPr>
          <w:sz w:val="22"/>
        </w:rPr>
        <w:t xml:space="preserve"> </w:t>
      </w:r>
      <w:r w:rsidRPr="00254F69">
        <w:rPr>
          <w:sz w:val="22"/>
        </w:rPr>
        <w:t>In addition, the CICFS must make reference to tax issues.</w:t>
      </w:r>
      <w:r>
        <w:rPr>
          <w:sz w:val="22"/>
        </w:rPr>
        <w:t xml:space="preserve"> </w:t>
      </w:r>
      <w:r w:rsidRPr="00254F69">
        <w:rPr>
          <w:sz w:val="22"/>
        </w:rPr>
        <w:t>The tax issues should address</w:t>
      </w:r>
      <w:r>
        <w:rPr>
          <w:sz w:val="22"/>
        </w:rPr>
        <w:t xml:space="preserve"> </w:t>
      </w:r>
      <w:r w:rsidRPr="00254F69">
        <w:rPr>
          <w:sz w:val="22"/>
        </w:rPr>
        <w:t>either the state that the captive insurance company is subject to with in the models</w:t>
      </w:r>
      <w:r>
        <w:rPr>
          <w:sz w:val="22"/>
        </w:rPr>
        <w:t xml:space="preserve"> </w:t>
      </w:r>
      <w:r w:rsidRPr="00254F69">
        <w:rPr>
          <w:sz w:val="22"/>
        </w:rPr>
        <w:t>or that the captive insurance company is not subject to tax consequences.</w:t>
      </w:r>
      <w:r>
        <w:rPr>
          <w:sz w:val="22"/>
        </w:rPr>
        <w:t xml:space="preserve"> </w:t>
      </w:r>
      <w:r w:rsidRPr="00254F69">
        <w:rPr>
          <w:sz w:val="22"/>
        </w:rPr>
        <w:t>Should the CICFS state that the captive insurance company is not subject to taxes of certain jurisdictions the reasons for this must be clearly documented.</w:t>
      </w:r>
      <w:r>
        <w:rPr>
          <w:sz w:val="22"/>
        </w:rPr>
        <w:t xml:space="preserve"> </w:t>
      </w:r>
      <w:r w:rsidRPr="00254F69">
        <w:rPr>
          <w:sz w:val="22"/>
        </w:rPr>
        <w:t xml:space="preserve">The </w:t>
      </w:r>
      <w:r>
        <w:rPr>
          <w:sz w:val="22"/>
        </w:rPr>
        <w:t>d</w:t>
      </w:r>
      <w:r w:rsidRPr="00254F69">
        <w:rPr>
          <w:sz w:val="22"/>
        </w:rPr>
        <w:t>ivision considers tax consequences to be an extremely important consideration of captive insurance company formation.</w:t>
      </w:r>
      <w:r>
        <w:rPr>
          <w:sz w:val="22"/>
        </w:rPr>
        <w:t xml:space="preserve"> </w:t>
      </w:r>
      <w:r w:rsidRPr="00254F69">
        <w:rPr>
          <w:sz w:val="22"/>
        </w:rPr>
        <w:t>Types of tax issues may include</w:t>
      </w:r>
      <w:r>
        <w:rPr>
          <w:sz w:val="22"/>
        </w:rPr>
        <w:t>,</w:t>
      </w:r>
      <w:r w:rsidRPr="00254F69">
        <w:rPr>
          <w:sz w:val="22"/>
        </w:rPr>
        <w:t xml:space="preserve"> but are not limited to</w:t>
      </w:r>
      <w:r>
        <w:rPr>
          <w:sz w:val="22"/>
        </w:rPr>
        <w:t>,</w:t>
      </w:r>
      <w:r w:rsidRPr="00254F69">
        <w:rPr>
          <w:sz w:val="22"/>
        </w:rPr>
        <w:t xml:space="preserve"> the following:</w:t>
      </w:r>
    </w:p>
    <w:p w:rsidR="00A22AEC" w:rsidRPr="00254F69" w:rsidRDefault="00A22AEC" w:rsidP="00A22AEC">
      <w:pPr>
        <w:numPr>
          <w:ilvl w:val="1"/>
          <w:numId w:val="3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 xml:space="preserve">U.S. </w:t>
      </w:r>
      <w:r>
        <w:rPr>
          <w:sz w:val="22"/>
        </w:rPr>
        <w:t>i</w:t>
      </w:r>
      <w:r w:rsidRPr="00254F69">
        <w:rPr>
          <w:sz w:val="22"/>
        </w:rPr>
        <w:t>ncome tax - to the captive, to the owners</w:t>
      </w:r>
    </w:p>
    <w:p w:rsidR="00A22AEC" w:rsidRPr="00254F69" w:rsidRDefault="00A22AEC" w:rsidP="00A22AEC">
      <w:pPr>
        <w:numPr>
          <w:ilvl w:val="1"/>
          <w:numId w:val="3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Excise taxes</w:t>
      </w:r>
    </w:p>
    <w:p w:rsidR="00A22AEC" w:rsidRPr="00254F69" w:rsidRDefault="00A22AEC" w:rsidP="00A22AEC">
      <w:pPr>
        <w:numPr>
          <w:ilvl w:val="1"/>
          <w:numId w:val="3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Excess and surplus lines taxes</w:t>
      </w:r>
    </w:p>
    <w:p w:rsidR="00A22AEC" w:rsidRPr="00254F69" w:rsidRDefault="00A22AEC" w:rsidP="00A22AEC">
      <w:pPr>
        <w:numPr>
          <w:ilvl w:val="1"/>
          <w:numId w:val="3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Other assessments or applicable taxes (i.e., residual market mechanisms)</w:t>
      </w:r>
    </w:p>
    <w:p w:rsidR="00A22AEC" w:rsidRPr="00254F69" w:rsidRDefault="00A22AEC" w:rsidP="00A22AEC">
      <w:pPr>
        <w:numPr>
          <w:ilvl w:val="0"/>
          <w:numId w:val="3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i/>
          <w:sz w:val="22"/>
        </w:rPr>
        <w:t>Premiums/Funding</w:t>
      </w:r>
      <w:r w:rsidRPr="00254F69">
        <w:rPr>
          <w:sz w:val="22"/>
        </w:rPr>
        <w:t xml:space="preserve"> items (2) and (3) should be brought together in order to develop the total recommended premium for the captive.</w:t>
      </w:r>
    </w:p>
    <w:p w:rsidR="00A22AEC" w:rsidRPr="00254F69" w:rsidRDefault="00A22AEC" w:rsidP="00A22AEC">
      <w:pPr>
        <w:numPr>
          <w:ilvl w:val="0"/>
          <w:numId w:val="3"/>
        </w:numPr>
        <w:tabs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i/>
          <w:sz w:val="22"/>
        </w:rPr>
        <w:t>Capitalization</w:t>
      </w:r>
      <w:r w:rsidRPr="00254F69">
        <w:rPr>
          <w:sz w:val="22"/>
        </w:rPr>
        <w:t xml:space="preserve"> is needed to cover the variability and uncertainty of expected loss levels.</w:t>
      </w:r>
      <w:r>
        <w:rPr>
          <w:sz w:val="22"/>
        </w:rPr>
        <w:t xml:space="preserve"> </w:t>
      </w:r>
      <w:r w:rsidRPr="00254F69">
        <w:rPr>
          <w:sz w:val="22"/>
        </w:rPr>
        <w:t>Therefore, a relatively extensive discussion of capitalization should be included in the CICFS.</w:t>
      </w:r>
      <w:r>
        <w:rPr>
          <w:sz w:val="22"/>
        </w:rPr>
        <w:t xml:space="preserve"> </w:t>
      </w:r>
      <w:r w:rsidRPr="00254F69">
        <w:rPr>
          <w:sz w:val="22"/>
        </w:rPr>
        <w:t xml:space="preserve">Included in the discussion should be a review of minimum participation requirements and any heuristic logic used in determining capitalization. </w:t>
      </w:r>
    </w:p>
    <w:p w:rsidR="00A22AEC" w:rsidRPr="00254F69" w:rsidRDefault="00A22AEC" w:rsidP="00A22AEC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20"/>
        <w:rPr>
          <w:sz w:val="22"/>
        </w:rPr>
      </w:pPr>
      <w:r w:rsidRPr="00254F69">
        <w:rPr>
          <w:b/>
          <w:sz w:val="22"/>
        </w:rPr>
        <w:t>Pro Forma Financial Statement</w:t>
      </w:r>
      <w:r w:rsidRPr="00254F69">
        <w:rPr>
          <w:sz w:val="22"/>
        </w:rPr>
        <w:t xml:space="preserve"> – Pro forma financial models should include the following: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An income statement and balance sheet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Parameters which agree with the other analyses in the CICFS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Include at least five years of pro forma results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Account for the effects of all types of taxation (or explain why there are no tax consequences)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 xml:space="preserve">Include at least one scenario worse than expected </w:t>
      </w:r>
      <w:r>
        <w:rPr>
          <w:sz w:val="22"/>
        </w:rPr>
        <w:t>that</w:t>
      </w:r>
      <w:r w:rsidRPr="00254F69">
        <w:rPr>
          <w:sz w:val="22"/>
        </w:rPr>
        <w:t xml:space="preserve"> demonstrates the consideration of possible financial impairment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Include a detailed explanation of each modeling assumption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Include general assumptions such as interest rates, year-to-year growth rates, etc.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Include a model showing the minimum number of participants, premiums, or capital</w:t>
      </w:r>
    </w:p>
    <w:p w:rsidR="00A22AEC" w:rsidRPr="00254F69" w:rsidRDefault="00A22AEC" w:rsidP="00A22AEC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60" w:after="20"/>
        <w:rPr>
          <w:sz w:val="22"/>
        </w:rPr>
      </w:pPr>
      <w:r w:rsidRPr="00254F69">
        <w:rPr>
          <w:b/>
          <w:sz w:val="22"/>
        </w:rPr>
        <w:t xml:space="preserve">Other Sections – </w:t>
      </w:r>
      <w:r w:rsidRPr="00254F69">
        <w:rPr>
          <w:sz w:val="22"/>
        </w:rPr>
        <w:t>In order to add value to the CICFS</w:t>
      </w:r>
      <w:r>
        <w:rPr>
          <w:sz w:val="22"/>
        </w:rPr>
        <w:t>,</w:t>
      </w:r>
      <w:r w:rsidRPr="00254F69">
        <w:rPr>
          <w:sz w:val="22"/>
        </w:rPr>
        <w:t xml:space="preserve"> the “other sections” area should be used to describe other areas of captive insurance in which standards have not yet been developed.</w:t>
      </w:r>
      <w:r>
        <w:rPr>
          <w:sz w:val="22"/>
        </w:rPr>
        <w:t xml:space="preserve"> </w:t>
      </w:r>
      <w:r w:rsidRPr="00254F69">
        <w:rPr>
          <w:sz w:val="22"/>
        </w:rPr>
        <w:t>These may include, but are not limited to, the following: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Fronting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Rating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Dividend, or profit allocation system</w:t>
      </w:r>
    </w:p>
    <w:p w:rsidR="00A22AEC" w:rsidRPr="00254F69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sz w:val="22"/>
        </w:rPr>
      </w:pPr>
      <w:r w:rsidRPr="00254F69">
        <w:rPr>
          <w:sz w:val="22"/>
        </w:rPr>
        <w:t>Capital allocation, alternative captive techniques</w:t>
      </w:r>
    </w:p>
    <w:p w:rsidR="00A22AEC" w:rsidRPr="0073076D" w:rsidRDefault="00A22AEC" w:rsidP="00A22AEC">
      <w:pPr>
        <w:numPr>
          <w:ilvl w:val="1"/>
          <w:numId w:val="2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0" w:after="20"/>
        <w:rPr>
          <w:b/>
          <w:sz w:val="22"/>
          <w:szCs w:val="20"/>
        </w:rPr>
      </w:pPr>
      <w:r w:rsidRPr="0073076D">
        <w:rPr>
          <w:sz w:val="22"/>
        </w:rPr>
        <w:t>Accessibility</w:t>
      </w:r>
    </w:p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A22AEC" w:rsidRDefault="00A22AEC"/>
    <w:p w:rsidR="00F87F28" w:rsidRDefault="00A22AEC" w:rsidP="00A22AEC">
      <w:pPr>
        <w:tabs>
          <w:tab w:val="center" w:pos="5220"/>
        </w:tabs>
        <w:spacing w:before="100"/>
      </w:pPr>
      <w:r w:rsidRPr="00BB3DD8">
        <w:rPr>
          <w:rFonts w:ascii="Arial" w:hAnsi="Arial"/>
          <w:sz w:val="16"/>
          <w:szCs w:val="22"/>
        </w:rPr>
        <w:t>440-49</w:t>
      </w:r>
      <w:r>
        <w:rPr>
          <w:rFonts w:ascii="Arial" w:hAnsi="Arial"/>
          <w:sz w:val="16"/>
          <w:szCs w:val="22"/>
        </w:rPr>
        <w:t>4</w:t>
      </w:r>
      <w:r w:rsidR="001A40E9">
        <w:rPr>
          <w:rFonts w:ascii="Arial" w:hAnsi="Arial"/>
          <w:sz w:val="16"/>
          <w:szCs w:val="22"/>
        </w:rPr>
        <w:t>7</w:t>
      </w:r>
      <w:r w:rsidRPr="00BB3DD8">
        <w:rPr>
          <w:rFonts w:ascii="Arial" w:hAnsi="Arial"/>
          <w:sz w:val="16"/>
          <w:szCs w:val="22"/>
        </w:rPr>
        <w:t xml:space="preserve"> (8/12/COM)</w:t>
      </w:r>
      <w:r w:rsidRPr="00BB3DD8">
        <w:rPr>
          <w:rFonts w:ascii="Arial" w:hAnsi="Arial"/>
          <w:sz w:val="16"/>
          <w:szCs w:val="22"/>
        </w:rPr>
        <w:tab/>
      </w:r>
      <w:r w:rsidRPr="00BB3DD8">
        <w:rPr>
          <w:sz w:val="20"/>
          <w:szCs w:val="22"/>
        </w:rPr>
        <w:t xml:space="preserve">Page </w:t>
      </w:r>
      <w:r>
        <w:rPr>
          <w:sz w:val="20"/>
          <w:szCs w:val="22"/>
        </w:rPr>
        <w:t>1</w:t>
      </w:r>
    </w:p>
    <w:sectPr w:rsidR="00F87F28" w:rsidSect="00A22AEC">
      <w:pgSz w:w="12240" w:h="15840"/>
      <w:pgMar w:top="720" w:right="720" w:bottom="360" w:left="720" w:footer="3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A02"/>
    <w:multiLevelType w:val="hybridMultilevel"/>
    <w:tmpl w:val="9818490E"/>
    <w:lvl w:ilvl="0" w:tplc="AEE28B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CE15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96EC47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9CD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8BA4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ED6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1885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61F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8EF2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B1FAA"/>
    <w:multiLevelType w:val="hybridMultilevel"/>
    <w:tmpl w:val="C4A80B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A52A47"/>
    <w:multiLevelType w:val="hybridMultilevel"/>
    <w:tmpl w:val="B0B6DDBA"/>
    <w:lvl w:ilvl="0" w:tplc="B6C434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2AEC"/>
    <w:rsid w:val="000C40FE"/>
    <w:rsid w:val="000D7090"/>
    <w:rsid w:val="001A40E9"/>
    <w:rsid w:val="00391FB5"/>
    <w:rsid w:val="005F3076"/>
    <w:rsid w:val="00936EFA"/>
    <w:rsid w:val="009F6C1D"/>
    <w:rsid w:val="00A22AEC"/>
    <w:rsid w:val="00A64E43"/>
    <w:rsid w:val="00C53ECA"/>
    <w:rsid w:val="00E66933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E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2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2AE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A22AEC"/>
    <w:pPr>
      <w:tabs>
        <w:tab w:val="left" w:pos="600"/>
      </w:tabs>
      <w:ind w:left="1440" w:hanging="360"/>
    </w:pPr>
  </w:style>
  <w:style w:type="character" w:customStyle="1" w:styleId="BodyTextIndent2Char">
    <w:name w:val="Body Text Indent 2 Char"/>
    <w:basedOn w:val="DefaultParagraphFont"/>
    <w:link w:val="BodyTextIndent2"/>
    <w:rsid w:val="00A22A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C5B60A76B564E98D7075840E88836" ma:contentTypeVersion="7" ma:contentTypeDescription="Create a new document." ma:contentTypeScope="" ma:versionID="cb199a135ff9b6bbc44d4981813eb320">
  <xsd:schema xmlns:xsd="http://www.w3.org/2001/XMLSchema" xmlns:xs="http://www.w3.org/2001/XMLSchema" xmlns:p="http://schemas.microsoft.com/office/2006/metadata/properties" xmlns:ns1="http://schemas.microsoft.com/sharepoint/v3" xmlns:ns2="a278a293-375e-45d9-a487-a609036d2c15" targetNamespace="http://schemas.microsoft.com/office/2006/metadata/properties" ma:root="true" ma:fieldsID="84c2eb25169ccb4513d34957fdb3af0d" ns1:_="" ns2:_="">
    <xsd:import namespace="http://schemas.microsoft.com/sharepoint/v3"/>
    <xsd:import namespace="a278a293-375e-45d9-a487-a609036d2c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8a293-375e-45d9-a487-a609036d2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CF4E2F-DFE2-48FF-A602-C1E95E86956B}"/>
</file>

<file path=customXml/itemProps2.xml><?xml version="1.0" encoding="utf-8"?>
<ds:datastoreItem xmlns:ds="http://schemas.openxmlformats.org/officeDocument/2006/customXml" ds:itemID="{1C12FE4A-D0B2-4C36-90E6-30F14B496199}"/>
</file>

<file path=customXml/itemProps3.xml><?xml version="1.0" encoding="utf-8"?>
<ds:datastoreItem xmlns:ds="http://schemas.openxmlformats.org/officeDocument/2006/customXml" ds:itemID="{BC71F470-2297-494B-BF9F-3B2C4350F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871</Words>
  <Characters>4968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Captive Insurance Company Feasibility Study</vt:lpstr>
    </vt:vector>
  </TitlesOfParts>
  <Manager/>
  <Company>DCBS, State of Oregon</Company>
  <LinksUpToDate>false</LinksUpToDate>
  <CharactersWithSpaces>6101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Captive Insurance Company Feasibility Study</dc:title>
  <dc:subject/>
  <dc:creator>State of Oregon Insurance Division</dc:creator>
  <cp:keywords/>
  <dc:description/>
  <cp:lastModifiedBy>Shonnie Emerson</cp:lastModifiedBy>
  <cp:revision>3</cp:revision>
  <cp:lastPrinted>2012-09-12T15:08:00Z</cp:lastPrinted>
  <dcterms:created xsi:type="dcterms:W3CDTF">2012-09-12T15:08:00Z</dcterms:created>
  <dcterms:modified xsi:type="dcterms:W3CDTF">2012-09-12T15:08:00Z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0x0101009E1C5B60A76B564E98D7075840E88836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